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8A1F2B"/>
          <w:spacing w:val="20"/>
          <w:sz w:val="20"/>
          <w:szCs w:val="20"/>
        </w:rPr>
        <w:t xml:space="preserve">COMMUNITY-FUNDED RESEARCH BRIEF</w:t>
      </w:r>
    </w:p>
    <w:p>
      <w:pPr>
        <w:spacing w:after="100"/>
      </w:pPr>
      <w:r>
        <w:rPr>
          <w:b/>
          <w:bCs/>
          <w:color w:val="1F2A44"/>
          <w:sz w:val="34"/>
          <w:szCs w:val="34"/>
        </w:rPr>
        <w:t xml:space="preserve">Understanding the New York Court Reporting Pay Gap</w:t>
      </w:r>
    </w:p>
    <w:p>
      <w:pPr>
        <w:spacing w:after="300"/>
      </w:pPr>
      <w:r>
        <w:rPr>
          <w:i/>
          <w:iCs/>
          <w:color w:val="595959"/>
          <w:sz w:val="22"/>
          <w:szCs w:val="22"/>
        </w:rPr>
        <w:t xml:space="preserve">A proposal to fund an independent economist through community crowdfunding (Stenonymous.com)</w:t>
      </w:r>
    </w:p>
    <w:p>
      <w:pPr>
        <w:pBdr>
          <w:bottom w:val="single" w:color="CCCCCC" w:sz="4" w:space="1"/>
        </w:pBdr>
        <w:spacing w:after="200" w:before="100"/>
      </w:pPr>
    </w:p>
    <w:p>
      <w:pPr>
        <w:pStyle w:val="Heading1"/>
        <w:pBdr>
          <w:bottom w:val="single" w:color="1F2A44" w:sz="6" w:space="4"/>
        </w:pBdr>
        <w:spacing w:after="160" w:before="360"/>
      </w:pPr>
      <w:r>
        <w:rPr>
          <w:b/>
          <w:bCs/>
          <w:color w:val="1F2A44"/>
          <w:sz w:val="26"/>
          <w:szCs w:val="26"/>
        </w:rPr>
        <w:t xml:space="preserve">Why This Study Matters</w:t>
      </w:r>
    </w:p>
    <w:p>
      <w:pPr>
        <w:spacing w:after="140" w:line="276"/>
      </w:pPr>
      <w:r>
        <w:rPr>
          <w:color w:val="222222"/>
          <w:sz w:val="21"/>
          <w:szCs w:val="21"/>
        </w:rPr>
        <w:t xml:space="preserve">Court reporters, voice writers, and digital reporters in New York don't have a clear, independent answer to a basic question: how much of what law firms pay for a transcript or deposition actually reaches the person who did the work — and how much is kept by the agency in between? Government labor data lumps every reporting method into one generic category, so nobody in the profession has real numbers to point to. This project funds an independent economist to get those numbers.</w:t>
      </w:r>
    </w:p>
    <w:p>
      <w:pPr>
        <w:pStyle w:val="Heading1"/>
        <w:pBdr>
          <w:bottom w:val="single" w:color="1F2A44" w:sz="6" w:space="4"/>
        </w:pBdr>
        <w:spacing w:after="160" w:before="360"/>
      </w:pPr>
      <w:r>
        <w:rPr>
          <w:b/>
          <w:bCs/>
          <w:color w:val="1F2A44"/>
          <w:sz w:val="26"/>
          <w:szCs w:val="26"/>
        </w:rPr>
        <w:t xml:space="preserve">What We're Funding</w:t>
      </w:r>
    </w:p>
    <w:p>
      <w:pPr>
        <w:spacing w:after="140" w:line="276"/>
      </w:pPr>
      <w:r>
        <w:rPr>
          <w:color w:val="222222"/>
          <w:sz w:val="21"/>
          <w:szCs w:val="21"/>
        </w:rPr>
        <w:t xml:space="preserve">Unlike a corporate consulting engagement, this study is scoped to be affordable for a solo practitioner or small research team — someone who can work efficiently from public records, direct outreach to reporters, and freelance job-board data, without the overhead of a large consulting firm.</w:t>
      </w:r>
    </w:p>
    <w:p>
      <w:pPr>
        <w:pStyle w:val="Heading2"/>
        <w:spacing w:after="100" w:before="220"/>
      </w:pPr>
      <w:r>
        <w:rPr>
          <w:b/>
          <w:bCs/>
          <w:color w:val="1F2A44"/>
          <w:sz w:val="22"/>
          <w:szCs w:val="22"/>
        </w:rPr>
        <w:t xml:space="preserve">Core Questions the Study Will Answer</w:t>
      </w:r>
    </w:p>
    <w:p>
      <w:pPr>
        <w:pStyle w:val="ListParagraph"/>
        <w:numPr>
          <w:ilvl w:val="0"/>
          <w:numId w:val="2"/>
        </w:numPr>
        <w:spacing w:after="80" w:line="264"/>
      </w:pPr>
      <w:r>
        <w:rPr>
          <w:b/>
          <w:bCs/>
          <w:color w:val="222222"/>
          <w:sz w:val="21"/>
          <w:szCs w:val="21"/>
        </w:rPr>
        <w:t xml:space="preserve">The Spread: </w:t>
      </w:r>
      <w:r>
        <w:rPr>
          <w:color w:val="222222"/>
          <w:sz w:val="21"/>
          <w:szCs w:val="21"/>
        </w:rPr>
        <w:t xml:space="preserve">What percentage of a client's bill does the agency keep, versus what the reporter is actually paid, for the same file?</w:t>
      </w:r>
    </w:p>
    <w:p>
      <w:pPr>
        <w:pStyle w:val="ListParagraph"/>
        <w:numPr>
          <w:ilvl w:val="0"/>
          <w:numId w:val="2"/>
        </w:numPr>
        <w:spacing w:after="80" w:line="264"/>
      </w:pPr>
      <w:r>
        <w:rPr>
          <w:b/>
          <w:bCs/>
          <w:color w:val="222222"/>
          <w:sz w:val="21"/>
          <w:szCs w:val="21"/>
        </w:rPr>
        <w:t xml:space="preserve">The Pay Gap by Method: </w:t>
      </w:r>
      <w:r>
        <w:rPr>
          <w:color w:val="222222"/>
          <w:sz w:val="21"/>
          <w:szCs w:val="21"/>
        </w:rPr>
        <w:t xml:space="preserve">How do stenographers, voice writers, and digital reporters actually compare in annual earnings — not job-board guesses, but numbers checked against real invoices and surveys?</w:t>
      </w:r>
    </w:p>
    <w:p>
      <w:pPr>
        <w:pStyle w:val="ListParagraph"/>
        <w:numPr>
          <w:ilvl w:val="0"/>
          <w:numId w:val="2"/>
        </w:numPr>
        <w:spacing w:after="80" w:line="264"/>
      </w:pPr>
      <w:r>
        <w:rPr>
          <w:b/>
          <w:bCs/>
          <w:color w:val="222222"/>
          <w:sz w:val="21"/>
          <w:szCs w:val="21"/>
        </w:rPr>
        <w:t xml:space="preserve">The Regulated vs. Unregulated Divide: </w:t>
      </w:r>
      <w:r>
        <w:rPr>
          <w:color w:val="222222"/>
          <w:sz w:val="21"/>
          <w:szCs w:val="21"/>
        </w:rPr>
        <w:t xml:space="preserve">New York's own court rules (22 NYCRR Part 108) already set public transcript rates ($2.50–$4.30+ per page). The study will compare that regulated baseline against the unregulated private deposition market, where agency markups vary widely.</w:t>
      </w:r>
    </w:p>
    <w:p>
      <w:pPr>
        <w:pStyle w:val="Heading1"/>
        <w:pBdr>
          <w:bottom w:val="single" w:color="1F2A44" w:sz="6" w:space="4"/>
        </w:pBdr>
        <w:spacing w:after="160" w:before="360"/>
      </w:pPr>
      <w:r>
        <w:rPr>
          <w:b/>
          <w:bCs/>
          <w:color w:val="1F2A44"/>
          <w:sz w:val="26"/>
          <w:szCs w:val="26"/>
        </w:rPr>
        <w:t xml:space="preserve">Funding Tiers</w:t>
      </w:r>
    </w:p>
    <w:p>
      <w:pPr>
        <w:spacing w:after="140" w:line="276"/>
      </w:pPr>
      <w:r>
        <w:rPr>
          <w:color w:val="222222"/>
          <w:sz w:val="21"/>
          <w:szCs w:val="21"/>
        </w:rPr>
        <w:t xml:space="preserve">A targeted, single-state study like this costs far less than a national or corporate-grade report. Based on typical independent/forensic economist rates ($75–$250/hr for freelance-tier work, vs. $300+/hr for full consulting firms), here's what different funding levels could realistically buy:</w:t>
      </w:r>
    </w:p>
    <w:tbl>
      <w:tblPr>
        <w:tblW w:type="dxa" w:w="9600"/>
        <w:tblBorders>
          <w:top w:val="single" w:color="auto" w:sz="4"/>
          <w:left w:val="single" w:color="auto" w:sz="4"/>
          <w:bottom w:val="single" w:color="auto" w:sz="4"/>
          <w:right w:val="single" w:color="auto" w:sz="4"/>
          <w:insideH w:val="single" w:color="auto" w:sz="4"/>
          <w:insideV w:val="single" w:color="auto" w:sz="4"/>
        </w:tblBorders>
      </w:tblPr>
      <w:tblGrid>
        <w:gridCol w:w="2600"/>
        <w:gridCol w:w="1800"/>
        <w:gridCol w:w="5200"/>
      </w:tblGrid>
      <w:tr>
        <w:trPr>
          <w:tblHeader/>
        </w:trPr>
        <w:tc>
          <w:tcPr>
            <w:tcW w:type="dxa" w:w="2600"/>
            <w:shd w:fill="1F2A44" w:val="clear"/>
          </w:tcPr>
          <w:p>
            <w:r>
              <w:rPr>
                <w:b/>
                <w:bCs/>
                <w:color w:val="FFFFFF"/>
                <w:sz w:val="20"/>
                <w:szCs w:val="20"/>
              </w:rPr>
              <w:t xml:space="preserve">Tier</w:t>
            </w:r>
          </w:p>
        </w:tc>
        <w:tc>
          <w:tcPr>
            <w:tcW w:type="dxa" w:w="1800"/>
            <w:shd w:fill="1F2A44" w:val="clear"/>
          </w:tcPr>
          <w:p>
            <w:r>
              <w:rPr>
                <w:b/>
                <w:bCs/>
                <w:color w:val="FFFFFF"/>
                <w:sz w:val="20"/>
                <w:szCs w:val="20"/>
              </w:rPr>
              <w:t xml:space="preserve">Goal</w:t>
            </w:r>
          </w:p>
        </w:tc>
        <w:tc>
          <w:tcPr>
            <w:tcW w:type="dxa" w:w="5200"/>
            <w:shd w:fill="1F2A44" w:val="clear"/>
          </w:tcPr>
          <w:p>
            <w:r>
              <w:rPr>
                <w:b/>
                <w:bCs/>
                <w:color w:val="FFFFFF"/>
                <w:sz w:val="20"/>
                <w:szCs w:val="20"/>
              </w:rPr>
              <w:t xml:space="preserve">What It Covers</w:t>
            </w:r>
          </w:p>
        </w:tc>
      </w:tr>
      <w:tr>
        <w:tc>
          <w:tcPr>
            <w:tcW w:type="dxa" w:w="2600"/>
            <w:shd w:fill="FFFFFF" w:val="clear"/>
          </w:tcPr>
          <w:p>
            <w:r>
              <w:rPr>
                <w:b/>
                <w:bCs/>
                <w:sz w:val="20"/>
                <w:szCs w:val="20"/>
              </w:rPr>
              <w:t xml:space="preserve">Bare Minimum</w:t>
            </w:r>
          </w:p>
        </w:tc>
        <w:tc>
          <w:tcPr>
            <w:tcW w:type="dxa" w:w="1800"/>
            <w:shd w:fill="FFFFFF" w:val="clear"/>
          </w:tcPr>
          <w:p>
            <w:r>
              <w:rPr>
                <w:b/>
                <w:bCs/>
                <w:color w:val="8A1F2B"/>
                <w:sz w:val="20"/>
                <w:szCs w:val="20"/>
              </w:rPr>
              <w:t xml:space="preserve">$5,000</w:t>
            </w:r>
          </w:p>
        </w:tc>
        <w:tc>
          <w:tcPr>
            <w:tcW w:type="dxa" w:w="5200"/>
            <w:shd w:fill="FFFFFF" w:val="clear"/>
          </w:tcPr>
          <w:p>
            <w:r>
              <w:rPr>
                <w:sz w:val="20"/>
                <w:szCs w:val="20"/>
              </w:rPr>
              <w:t xml:space="preserve">A basic report built from public BLS data, ZipRecruiter/Salary.com figures, and the Part 108 rate schedule. Useful as a starting benchmark, but relies on data that doesn't separate reporting methods.</w:t>
            </w:r>
          </w:p>
        </w:tc>
      </w:tr>
      <w:tr>
        <w:tc>
          <w:tcPr>
            <w:tcW w:type="dxa" w:w="2600"/>
            <w:shd w:fill="F5F5F5" w:val="clear"/>
          </w:tcPr>
          <w:p>
            <w:r>
              <w:rPr>
                <w:b/>
                <w:bCs/>
                <w:sz w:val="20"/>
                <w:szCs w:val="20"/>
              </w:rPr>
              <w:t xml:space="preserve">Target Goal</w:t>
            </w:r>
          </w:p>
        </w:tc>
        <w:tc>
          <w:tcPr>
            <w:tcW w:type="dxa" w:w="1800"/>
            <w:shd w:fill="F5F5F5" w:val="clear"/>
          </w:tcPr>
          <w:p>
            <w:r>
              <w:rPr>
                <w:b/>
                <w:bCs/>
                <w:color w:val="8A1F2B"/>
                <w:sz w:val="20"/>
                <w:szCs w:val="20"/>
              </w:rPr>
              <w:t xml:space="preserve">$10,000–$15,000</w:t>
            </w:r>
          </w:p>
        </w:tc>
        <w:tc>
          <w:tcPr>
            <w:tcW w:type="dxa" w:w="5200"/>
            <w:shd w:fill="F5F5F5" w:val="clear"/>
          </w:tcPr>
          <w:p>
            <w:r>
              <w:rPr>
                <w:sz w:val="20"/>
                <w:szCs w:val="20"/>
              </w:rPr>
              <w:t xml:space="preserve">Adds direct outreach: a survey of independent NY reporters and a review of publicly available state agency pricing contracts, so the "spread" analysis is based on real numbers instead of estimates.</w:t>
            </w:r>
          </w:p>
        </w:tc>
      </w:tr>
      <w:tr>
        <w:tc>
          <w:tcPr>
            <w:tcW w:type="dxa" w:w="2600"/>
            <w:shd w:fill="FFFFFF" w:val="clear"/>
          </w:tcPr>
          <w:p>
            <w:r>
              <w:rPr>
                <w:b/>
                <w:bCs/>
                <w:sz w:val="20"/>
                <w:szCs w:val="20"/>
              </w:rPr>
              <w:t xml:space="preserve">Stretch Goal</w:t>
            </w:r>
          </w:p>
        </w:tc>
        <w:tc>
          <w:tcPr>
            <w:tcW w:type="dxa" w:w="1800"/>
            <w:shd w:fill="FFFFFF" w:val="clear"/>
          </w:tcPr>
          <w:p>
            <w:r>
              <w:rPr>
                <w:b/>
                <w:bCs/>
                <w:color w:val="8A1F2B"/>
                <w:sz w:val="20"/>
                <w:szCs w:val="20"/>
              </w:rPr>
              <w:t xml:space="preserve">$18,000–$25,000</w:t>
            </w:r>
          </w:p>
        </w:tc>
        <w:tc>
          <w:tcPr>
            <w:tcW w:type="dxa" w:w="5200"/>
            <w:shd w:fill="FFFFFF" w:val="clear"/>
          </w:tcPr>
          <w:p>
            <w:r>
              <w:rPr>
                <w:sz w:val="20"/>
                <w:szCs w:val="20"/>
              </w:rPr>
              <w:t xml:space="preserve">Full scope: anonymized invoice audits, statewide regional breakdown (downstate/upstate/rural), and a polished report + 3-page summary suitable for sharing with legislators or press.</w:t>
            </w:r>
          </w:p>
        </w:tc>
      </w:tr>
    </w:tbl>
    <w:p>
      <w:pPr>
        <w:spacing w:after="100" w:before="200"/>
      </w:pPr>
    </w:p>
    <w:p>
      <w:pPr>
        <w:pStyle w:val="Heading1"/>
        <w:pBdr>
          <w:bottom w:val="single" w:color="1F2A44" w:sz="6" w:space="4"/>
        </w:pBdr>
        <w:spacing w:after="160" w:before="360"/>
      </w:pPr>
      <w:r>
        <w:rPr>
          <w:b/>
          <w:bCs/>
          <w:color w:val="1F2A44"/>
          <w:sz w:val="26"/>
          <w:szCs w:val="26"/>
        </w:rPr>
        <w:t xml:space="preserve">What Backers Get</w:t>
      </w:r>
    </w:p>
    <w:p>
      <w:pPr>
        <w:pStyle w:val="ListParagraph"/>
        <w:numPr>
          <w:ilvl w:val="0"/>
          <w:numId w:val="2"/>
        </w:numPr>
        <w:spacing w:after="80" w:line="264"/>
      </w:pPr>
      <w:r>
        <w:rPr>
          <w:color w:val="222222"/>
          <w:sz w:val="21"/>
          <w:szCs w:val="21"/>
        </w:rPr>
        <w:t xml:space="preserve">A public, plain-language summary of the findings (not locked behind a paywall).</w:t>
      </w:r>
    </w:p>
    <w:p>
      <w:pPr>
        <w:pStyle w:val="ListParagraph"/>
        <w:numPr>
          <w:ilvl w:val="0"/>
          <w:numId w:val="2"/>
        </w:numPr>
        <w:spacing w:after="80" w:line="264"/>
      </w:pPr>
      <w:r>
        <w:rPr>
          <w:color w:val="222222"/>
          <w:sz w:val="21"/>
          <w:szCs w:val="21"/>
        </w:rPr>
        <w:t xml:space="preserve">Data tables anyone can independently check — invoice-based, not modeled guesses.</w:t>
      </w:r>
    </w:p>
    <w:p>
      <w:pPr>
        <w:pStyle w:val="ListParagraph"/>
        <w:numPr>
          <w:ilvl w:val="0"/>
          <w:numId w:val="2"/>
        </w:numPr>
        <w:spacing w:after="80" w:line="264"/>
      </w:pPr>
      <w:r>
        <w:rPr>
          <w:color w:val="222222"/>
          <w:sz w:val="21"/>
          <w:szCs w:val="21"/>
        </w:rPr>
        <w:t xml:space="preserve">A citable, independent source the profession can point to in legislative or public conversations about pay and staffing shortages.</w:t>
      </w:r>
    </w:p>
    <w:p>
      <w:pPr>
        <w:pStyle w:val="Heading1"/>
        <w:pBdr>
          <w:bottom w:val="single" w:color="1F2A44" w:sz="6" w:space="4"/>
        </w:pBdr>
        <w:spacing w:after="160" w:before="360"/>
      </w:pPr>
      <w:r>
        <w:rPr>
          <w:b/>
          <w:bCs/>
          <w:color w:val="1F2A44"/>
          <w:sz w:val="26"/>
          <w:szCs w:val="26"/>
        </w:rPr>
        <w:t xml:space="preserve">Scope, Kept Realistic</w:t>
      </w:r>
    </w:p>
    <w:p>
      <w:pPr>
        <w:spacing w:after="140" w:line="276"/>
      </w:pPr>
      <w:r>
        <w:rPr>
          <w:color w:val="222222"/>
          <w:sz w:val="21"/>
          <w:szCs w:val="21"/>
        </w:rPr>
        <w:t xml:space="preserve">This version deliberately narrows the corporate-firm approach down to what's achievable on a crowdfunded budget:</w:t>
      </w:r>
    </w:p>
    <w:p>
      <w:pPr>
        <w:pStyle w:val="ListParagraph"/>
        <w:numPr>
          <w:ilvl w:val="0"/>
          <w:numId w:val="2"/>
        </w:numPr>
        <w:spacing w:after="80" w:line="264"/>
      </w:pPr>
      <w:r>
        <w:rPr>
          <w:b/>
          <w:bCs/>
          <w:color w:val="222222"/>
          <w:sz w:val="21"/>
          <w:szCs w:val="21"/>
        </w:rPr>
        <w:t xml:space="preserve">Geography: </w:t>
      </w:r>
      <w:r>
        <w:rPr>
          <w:color w:val="222222"/>
          <w:sz w:val="21"/>
          <w:szCs w:val="21"/>
        </w:rPr>
        <w:t xml:space="preserve">New York State only, not a national study.</w:t>
      </w:r>
    </w:p>
    <w:p>
      <w:pPr>
        <w:pStyle w:val="ListParagraph"/>
        <w:numPr>
          <w:ilvl w:val="0"/>
          <w:numId w:val="2"/>
        </w:numPr>
        <w:spacing w:after="80" w:line="264"/>
      </w:pPr>
      <w:r>
        <w:rPr>
          <w:b/>
          <w:bCs/>
          <w:color w:val="222222"/>
          <w:sz w:val="21"/>
          <w:szCs w:val="21"/>
        </w:rPr>
        <w:t xml:space="preserve">Data sources: </w:t>
      </w:r>
      <w:r>
        <w:rPr>
          <w:color w:val="222222"/>
          <w:sz w:val="21"/>
          <w:szCs w:val="21"/>
        </w:rPr>
        <w:t xml:space="preserve">public records, freelance job-board data, and voluntary anonymized surveys — no paid proprietary databases.</w:t>
      </w:r>
    </w:p>
    <w:p>
      <w:pPr>
        <w:pStyle w:val="ListParagraph"/>
        <w:numPr>
          <w:ilvl w:val="0"/>
          <w:numId w:val="2"/>
        </w:numPr>
        <w:spacing w:after="80" w:line="264"/>
      </w:pPr>
      <w:r>
        <w:rPr>
          <w:b/>
          <w:bCs/>
          <w:color w:val="222222"/>
          <w:sz w:val="21"/>
          <w:szCs w:val="21"/>
        </w:rPr>
        <w:t xml:space="preserve">Deliverable: </w:t>
      </w:r>
      <w:r>
        <w:rPr>
          <w:color w:val="222222"/>
          <w:sz w:val="21"/>
          <w:szCs w:val="21"/>
        </w:rPr>
        <w:t xml:space="preserve">one clear report and public summary, not a multi-year longitudinal study.</w:t>
      </w:r>
    </w:p>
    <w:p>
      <w:pPr>
        <w:pStyle w:val="Heading1"/>
        <w:pBdr>
          <w:bottom w:val="single" w:color="1F2A44" w:sz="6" w:space="4"/>
        </w:pBdr>
        <w:spacing w:after="160" w:before="360"/>
      </w:pPr>
      <w:r>
        <w:rPr>
          <w:b/>
          <w:bCs/>
          <w:color w:val="1F2A44"/>
          <w:sz w:val="26"/>
          <w:szCs w:val="26"/>
        </w:rPr>
        <w:t xml:space="preserve">Suggested Campaign Language</w:t>
      </w:r>
    </w:p>
    <w:p>
      <w:pPr>
        <w:spacing w:after="140" w:line="276"/>
      </w:pPr>
      <w:r>
        <w:rPr>
          <w:color w:val="222222"/>
          <w:sz w:val="21"/>
          <w:szCs w:val="21"/>
        </w:rPr>
        <w:t xml:space="preserve">"Court reporters have never had an independent, numbers-based answer to how the pay actually breaks down between agencies and the people doing the work. This campaign funds exactly that — a focused, New York-specific study built on real invoices and real reporter surveys, with results made public for the whole profession to use."</w:t>
      </w:r>
    </w:p>
    <w:p>
      <w:pPr>
        <w:pStyle w:val="Heading1"/>
        <w:pBdr>
          <w:bottom w:val="single" w:color="1F2A44" w:sz="6" w:space="4"/>
        </w:pBdr>
        <w:spacing w:after="160" w:before="360"/>
      </w:pPr>
      <w:r>
        <w:rPr>
          <w:b/>
          <w:bCs/>
          <w:color w:val="1F2A44"/>
          <w:sz w:val="26"/>
          <w:szCs w:val="26"/>
        </w:rPr>
        <w:t xml:space="preserve">Next Steps</w:t>
      </w:r>
    </w:p>
    <w:p>
      <w:pPr>
        <w:pStyle w:val="ListParagraph"/>
        <w:numPr>
          <w:ilvl w:val="0"/>
          <w:numId w:val="2"/>
        </w:numPr>
        <w:spacing w:after="80" w:line="264"/>
      </w:pPr>
      <w:r>
        <w:rPr>
          <w:color w:val="222222"/>
          <w:sz w:val="21"/>
          <w:szCs w:val="21"/>
        </w:rPr>
        <w:t xml:space="preserve">Identify 2–3 independent forensic/labor economists via the National Association of Forensic Economics (NAFE) directory or a university labor economics department, and request quotes against the Target Goal scope above.</w:t>
      </w:r>
    </w:p>
    <w:p>
      <w:pPr>
        <w:pStyle w:val="ListParagraph"/>
        <w:numPr>
          <w:ilvl w:val="0"/>
          <w:numId w:val="2"/>
        </w:numPr>
        <w:spacing w:after="80" w:line="264"/>
      </w:pPr>
      <w:r>
        <w:rPr>
          <w:color w:val="222222"/>
          <w:sz w:val="21"/>
          <w:szCs w:val="21"/>
        </w:rPr>
        <w:t xml:space="preserve">Set the Stenonymous.com campaign goal at the Target tier ($10,000–$15,000) as the realistic funding ask, with the Stretch tier as an aspirational add-on.</w:t>
      </w:r>
    </w:p>
    <w:p>
      <w:pPr>
        <w:pStyle w:val="ListParagraph"/>
        <w:numPr>
          <w:ilvl w:val="0"/>
          <w:numId w:val="2"/>
        </w:numPr>
        <w:spacing w:after="80" w:line="264"/>
      </w:pPr>
      <w:r>
        <w:rPr>
          <w:color w:val="222222"/>
          <w:sz w:val="21"/>
          <w:szCs w:val="21"/>
        </w:rPr>
        <w:t xml:space="preserve">Share this brief directly with prospective economists so quotes come back scoped to the same deliverable.</w:t>
      </w:r>
    </w:p>
    <w:sectPr>
      <w:pgSz w:w="12240" w:h="15840" w:orient="portrait"/>
      <w:pgMar w:top="1080" w:right="1200" w:bottom="108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00" w:hanging="260"/>
      </w:pPr>
    </w:lvl>
    <w:lvl w:ilvl="1" w15:tentative="1">
      <w:start w:val="1"/>
      <w:numFmt w:val="bullet"/>
      <w:lvlText w:val="◦"/>
      <w:lvlJc w:val="left"/>
      <w:pPr>
        <w:ind w:left="8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2026-07-16T00:49:38.764Z</dcterms:created>
  <dcterms:modified xsi:type="dcterms:W3CDTF">2026-07-16T00:49:38.765Z</dcterms:modified>
</cp:coreProperties>
</file>

<file path=docProps/custom.xml><?xml version="1.0" encoding="utf-8"?>
<Properties xmlns="http://schemas.openxmlformats.org/officeDocument/2006/custom-properties" xmlns:vt="http://schemas.openxmlformats.org/officeDocument/2006/docPropsVTypes"/>
</file>